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A131F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</w:rPr>
        <w:t>关于举办“艺韵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  <w:lang w:val="en-US" w:eastAsia="zh-CN"/>
        </w:rPr>
        <w:t>杯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  <w:lang w:val="en-US" w:eastAsia="zh-CN"/>
        </w:rPr>
        <w:t>文艺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</w:rPr>
        <w:t>创作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  <w:lang w:val="en-US" w:eastAsia="zh-CN"/>
        </w:rPr>
        <w:t>设计大</w:t>
      </w:r>
      <w:r>
        <w:rPr>
          <w:rFonts w:hint="eastAsia" w:ascii="宋体" w:hAnsi="宋体" w:eastAsia="宋体" w:cs="宋体"/>
          <w:b/>
          <w:bCs/>
          <w:sz w:val="44"/>
          <w:szCs w:val="52"/>
          <w:highlight w:val="none"/>
        </w:rPr>
        <w:t>赛通知</w:t>
      </w:r>
    </w:p>
    <w:p w14:paraId="2CBA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</w:p>
    <w:p w14:paraId="1AC08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尊敬的各位文艺爱好者：</w:t>
      </w:r>
    </w:p>
    <w:p w14:paraId="3F582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为给广大文艺爱好者提供一个展示才华、交流技艺的平台，激发创意与灵感，促进文艺事业的蓬勃发展，特举办“艺韵杯”文艺创作挑战赛。现将相关事宜通知如下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</w:p>
    <w:p w14:paraId="7E1B2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40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主办单位</w:t>
      </w:r>
    </w:p>
    <w:p w14:paraId="434ED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主办方：“艺韵杯”文艺创作设计大赛组委会</w:t>
      </w:r>
    </w:p>
    <w:p w14:paraId="3B62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协办方：吉林省十壹匠人今朝文化传媒有限公司</w:t>
      </w:r>
    </w:p>
    <w:p w14:paraId="6591F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、参赛对象</w:t>
      </w:r>
    </w:p>
    <w:p w14:paraId="0B28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本次比赛面向全体文艺爱好者，年龄、职业、地域不限。</w:t>
      </w:r>
    </w:p>
    <w:p w14:paraId="33993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赛程设置及时间安排</w:t>
      </w:r>
    </w:p>
    <w:p w14:paraId="69B5F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（一）赛程设置</w:t>
      </w:r>
    </w:p>
    <w:p w14:paraId="5D57A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赛项赛程分为：分区赛竞赛及全国总决赛两个阶段。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9360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950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东北赛区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黑龙江省、吉林省、辽宁省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华北赛区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北京市、天津市、河北省、山西省、内蒙古自治区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华东赛区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上海市、江苏省、浙江省、安徽省、福建省、江西省、山东省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华南赛区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广东省、广西壮族自治区、海南省</w:t>
            </w:r>
          </w:p>
        </w:tc>
      </w:tr>
      <w:tr w14:paraId="1517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6673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华中赛区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DDA9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河南省、湖北省、湖南省</w:t>
            </w:r>
          </w:p>
        </w:tc>
      </w:tr>
      <w:tr w14:paraId="3FF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FA7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西北赛区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C6E8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陕西省、甘肃省、青海省、宁夏回族自治区、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新疆维吾尔自治区</w:t>
            </w:r>
          </w:p>
        </w:tc>
      </w:tr>
      <w:tr w14:paraId="4B89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AC4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西南赛区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6DDD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重庆市、四川省、贵州省、云南省、西藏自治区</w:t>
            </w:r>
          </w:p>
        </w:tc>
      </w:tr>
    </w:tbl>
    <w:p w14:paraId="61B2FA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赛事时间安排</w:t>
      </w:r>
    </w:p>
    <w:p w14:paraId="790B2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default" w:ascii="宋体" w:hAnsi="宋体" w:cs="宋体" w:eastAsiaTheme="minorEastAsia"/>
          <w:sz w:val="28"/>
          <w:szCs w:val="36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大赛报名提交参赛作品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2025年4月2日-2025年4月11日</w:t>
      </w:r>
    </w:p>
    <w:p w14:paraId="03597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赛区竞赛评审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2025年4月11日-2025年4月19日</w:t>
      </w:r>
    </w:p>
    <w:p w14:paraId="504F7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公布赛区竞赛结果与入围国赛名单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2025年4月20日</w:t>
      </w:r>
    </w:p>
    <w:p w14:paraId="51F55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全国总决赛评审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2025年4月21日-2025年4月29日</w:t>
      </w:r>
    </w:p>
    <w:p w14:paraId="38359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36"/>
          <w:highlight w:val="none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公布全国总决赛结果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2025年4月30日</w:t>
      </w:r>
    </w:p>
    <w:p w14:paraId="3ECDE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、比赛项目</w:t>
      </w:r>
    </w:p>
    <w:p w14:paraId="6986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  <w:t>（一）诗歌创作​</w:t>
      </w:r>
    </w:p>
    <w:p w14:paraId="7E23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  <w:t>提交原创诗歌作品，体裁不限，行数不低于20行。以电子文档形式提交，格式为DOC或DOCX。文档内需包含作品标题、作者姓名、联系方式及内容简介，简介需简要阐述创作灵感与诗歌主题。​</w:t>
      </w:r>
    </w:p>
    <w:p w14:paraId="21A1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  <w:t>（二）绘画创作​</w:t>
      </w:r>
    </w:p>
    <w:p w14:paraId="22C5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数字绘画：使用数位板、绘图软件等工具创作一幅数字绘画作品，主题不限，尺寸不低于A4分辨率（300dpi）。需提交作品源文件（如 PSD、AI等格式）及最终导出的JPEG或PNG格式图片。同时附上作品创作过程简述，内容涵盖创作思路的萌生、使用的主要工具及独特技巧，以及在创作过程中对色彩、构图等元素的构思。​</w:t>
      </w:r>
    </w:p>
    <w:p w14:paraId="5D54C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传统绘画：接受油画、水彩画、素描、国画等各类传统绘画形式。提交作品的高清扫描件或高质量照片，文件格式为JPEG或PNG，分辨率不低于300dpi。需附带作品创作说明，包括创作材料的选用、创作过程中遇到的挑战及解决方案，以及作品所蕴含的情感与表达意图。​</w:t>
      </w:r>
    </w:p>
    <w:p w14:paraId="1967D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、参赛方式</w:t>
      </w:r>
    </w:p>
    <w:p w14:paraId="09A20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登录比赛官方网站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（http://www.jing-sai.cn/）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进行报名，填写个人信息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选择参赛项目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。</w:t>
      </w:r>
    </w:p>
    <w:p w14:paraId="72055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完成报名后，按照比赛项目要求准备作品及相关文档。在作品提交时间内，登录比赛官方平台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进行提交作品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，根据系统提示上传作品文件及对应的说明文档。请确保上传的文件清晰可识别，文件命名规范（格式为：参赛项目-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作品名称-</w:t>
      </w: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作者姓名）。</w:t>
      </w:r>
    </w:p>
    <w:p w14:paraId="4977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、奖项设置</w:t>
      </w:r>
    </w:p>
    <w:p w14:paraId="0CA8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本竞赛根据赛程设置，参赛作品获奖设立“分区赛”和“全国总决赛”两个级别。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每个项目均设置一等奖、二等奖、三等奖及优秀奖若干名，具体奖项数量将根据参赛作品数量及质量确定。</w:t>
      </w:r>
    </w:p>
    <w:p w14:paraId="0B85E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、评审标准</w:t>
      </w:r>
    </w:p>
    <w:p w14:paraId="35680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  <w:t>（一）诗歌创作评审标准​</w:t>
      </w:r>
    </w:p>
    <w:p w14:paraId="5B18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创意性</w:t>
      </w:r>
    </w:p>
    <w:p w14:paraId="4A43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诗歌在主题立意、意象运用、表现形式等方面独具匠心，展现出与众不同的创作视角与创新思维。​</w:t>
      </w:r>
    </w:p>
    <w:p w14:paraId="7E15B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文学性</w:t>
      </w:r>
    </w:p>
    <w:p w14:paraId="1452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具备优美的语言表达，精准的词汇运用，流畅的韵律节奏（若有韵律要求），以及深刻的情感内涵与思想深度。​</w:t>
      </w:r>
    </w:p>
    <w:p w14:paraId="0EE2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艺术感染力</w:t>
      </w:r>
    </w:p>
    <w:p w14:paraId="12FC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能够引发读者强烈的情感共鸣，使读者沉浸于诗歌营造的意境之中，感受到诗歌传递的情绪与价值观。​</w:t>
      </w:r>
    </w:p>
    <w:p w14:paraId="046DA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完整性</w:t>
      </w:r>
    </w:p>
    <w:p w14:paraId="7348F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诗歌结构完整，起承转合自然，逻辑连贯，无明显的内容缺失或逻辑漏洞。​</w:t>
      </w:r>
    </w:p>
    <w:p w14:paraId="3320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  <w:t>（二）绘画创作评审标准​</w:t>
      </w:r>
    </w:p>
    <w:p w14:paraId="1018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创意性</w:t>
      </w:r>
    </w:p>
    <w:p w14:paraId="308E0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作品在主题表达、构图设计、表现手法上展现出独特新颖的创意，突破传统，给人耳目一新之感。​</w:t>
      </w:r>
    </w:p>
    <w:p w14:paraId="7201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技巧专业性</w:t>
      </w:r>
    </w:p>
    <w:p w14:paraId="4827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无论是数字绘画还是传统绘画，均需展现出扎实的绘画技巧，包括线条运用、色彩搭配、造型塑造等方面达到较高专业水准。​</w:t>
      </w:r>
    </w:p>
    <w:p w14:paraId="2CE1A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艺术价值</w:t>
      </w:r>
    </w:p>
    <w:p w14:paraId="68E9D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作品蕴含丰富的艺术审美价值，具有独特的艺术风格，能通过画面传达出创作者的情感、观念或对世界的独特认知。​</w:t>
      </w:r>
    </w:p>
    <w:p w14:paraId="08553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36"/>
          <w:highlight w:val="none"/>
        </w:rPr>
        <w:t>完成度</w:t>
      </w:r>
    </w:p>
    <w:p w14:paraId="0A3C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default" w:ascii="宋体" w:hAnsi="宋体" w:eastAsia="宋体" w:cs="宋体"/>
          <w:sz w:val="28"/>
          <w:szCs w:val="36"/>
          <w:highlight w:val="none"/>
        </w:rPr>
        <w:t>画面细节处理完善，整体效果和谐统一，无明显的技术失误或未完成部分，制作精良。​</w:t>
      </w:r>
    </w:p>
    <w:p w14:paraId="7EBE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</w:rPr>
        <w:t>、注意事项</w:t>
      </w:r>
    </w:p>
    <w:p w14:paraId="43ED6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参赛作品必须为原创，未在任何公开平台发表过，且不存在抄袭、剽窃等侵权行为。如发现作品存在侵权问题，将立即取消参赛资格，并依法追究相关责任。</w:t>
      </w:r>
    </w:p>
    <w:p w14:paraId="6248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参赛者应确保提交的个人信息及作品资料真实、准确、完整。如因信息错误或资料不全导致无法参与比赛或影响比赛结果，责任由参赛者自行承担。</w:t>
      </w:r>
    </w:p>
    <w:p w14:paraId="4DBC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比赛主办方有权对参赛作品进行展览、出版、宣传等用途，不另付稿酬。参赛者享有作品的署名权。</w:t>
      </w:r>
    </w:p>
    <w:p w14:paraId="0596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在比赛过程中，参赛者应遵守比赛规则及相关法律法规，不得进行任何影响比赛公平公正或干扰比赛正常进行的行为。如有违反，主办方有权取消其参赛资格。</w:t>
      </w:r>
    </w:p>
    <w:p w14:paraId="1BD08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赛事解读、赛事宣讲、报名事项、规则事项、比赛日程、奖励事项、系列研讨会等详细安排请关注官网及微信平台通知。</w:t>
      </w:r>
    </w:p>
    <w:p w14:paraId="08BE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</w:p>
    <w:p w14:paraId="1BDC1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87630</wp:posOffset>
            </wp:positionV>
            <wp:extent cx="1409700" cy="1409700"/>
            <wp:effectExtent l="0" t="0" r="0" b="0"/>
            <wp:wrapNone/>
            <wp:docPr id="1" name="图片 1" descr="9f7d0365705dc0874a98015e6c00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7d0365705dc0874a98015e6c00f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5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“艺韵杯”文艺创作设计大赛组委会</w:t>
      </w:r>
    </w:p>
    <w:p w14:paraId="265B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45F84"/>
    <w:multiLevelType w:val="singleLevel"/>
    <w:tmpl w:val="99545F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4098A"/>
    <w:rsid w:val="093C5896"/>
    <w:rsid w:val="0EC86399"/>
    <w:rsid w:val="1BF148D4"/>
    <w:rsid w:val="2F0C16A5"/>
    <w:rsid w:val="3C2F1C46"/>
    <w:rsid w:val="3DD4098A"/>
    <w:rsid w:val="3EE70CDF"/>
    <w:rsid w:val="519521F9"/>
    <w:rsid w:val="569F308C"/>
    <w:rsid w:val="621C76EA"/>
    <w:rsid w:val="6F012955"/>
    <w:rsid w:val="7B8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1860</Words>
  <Characters>1969</Characters>
  <Lines>0</Lines>
  <Paragraphs>0</Paragraphs>
  <TotalTime>27</TotalTime>
  <ScaleCrop>false</ScaleCrop>
  <LinksUpToDate>false</LinksUpToDate>
  <CharactersWithSpaces>1971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2025-03-10T00:56:00Z</dcterms:created>
  <dc:creator>月亮梦游了</dc:creator>
  <cp:lastModifiedBy>月亮梦游了</cp:lastModifiedBy>
  <dcterms:modified xsi:type="dcterms:W3CDTF">2025-03-31T09:02:51Z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4FC0456CFA1F43E1B231D461CD1F7765_11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